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640" w:lineRule="exact"/>
        <w:ind w:right="0" w:rightChars="0"/>
        <w:jc w:val="both"/>
        <w:textAlignment w:val="auto"/>
        <w:outlineLvl w:val="9"/>
        <w:rPr>
          <w:rFonts w:ascii="楷体_GB2312" w:hAnsi="楷体" w:eastAsia="楷体_GB2312" w:cs="仿宋_GB2312"/>
          <w:b/>
          <w:color w:val="auto"/>
          <w:spacing w:val="-2"/>
          <w:kern w:val="0"/>
          <w:sz w:val="32"/>
          <w:szCs w:val="32"/>
        </w:rPr>
      </w:pPr>
      <w:r>
        <w:rPr>
          <w:rFonts w:hint="eastAsia" w:ascii="黑体" w:hAnsi="黑体" w:eastAsia="黑体" w:cs="黑体"/>
          <w:color w:val="auto"/>
          <w:sz w:val="32"/>
          <w:szCs w:val="28"/>
        </w:rPr>
        <w:t>附件2</w:t>
      </w:r>
    </w:p>
    <w:p>
      <w:pPr>
        <w:widowControl w:val="0"/>
        <w:wordWrap/>
        <w:adjustRightInd/>
        <w:snapToGrid/>
        <w:spacing w:before="0" w:beforeLines="0" w:after="0" w:afterLines="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spacing w:val="6"/>
          <w:sz w:val="44"/>
          <w:szCs w:val="44"/>
        </w:rPr>
      </w:pPr>
      <w:r>
        <w:rPr>
          <w:rFonts w:hint="eastAsia" w:ascii="方正小标宋简体" w:hAnsi="方正小标宋简体" w:eastAsia="方正小标宋简体" w:cs="方正小标宋简体"/>
          <w:bCs/>
          <w:color w:val="auto"/>
          <w:spacing w:val="6"/>
          <w:sz w:val="44"/>
          <w:szCs w:val="44"/>
        </w:rPr>
        <w:t>民进中央参政党理论研究会</w:t>
      </w:r>
      <w:bookmarkStart w:id="0" w:name="_GoBack"/>
      <w:bookmarkEnd w:id="0"/>
    </w:p>
    <w:p>
      <w:pPr>
        <w:widowControl w:val="0"/>
        <w:wordWrap/>
        <w:adjustRightInd/>
        <w:snapToGrid/>
        <w:spacing w:before="0" w:beforeLines="0" w:after="0" w:afterLines="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spacing w:val="6"/>
          <w:sz w:val="44"/>
          <w:szCs w:val="44"/>
        </w:rPr>
      </w:pPr>
      <w:r>
        <w:rPr>
          <w:rFonts w:hint="eastAsia" w:ascii="方正小标宋简体" w:hAnsi="方正小标宋简体" w:eastAsia="方正小标宋简体" w:cs="方正小标宋简体"/>
          <w:bCs/>
          <w:color w:val="auto"/>
          <w:spacing w:val="6"/>
          <w:sz w:val="44"/>
          <w:szCs w:val="44"/>
        </w:rPr>
        <w:t>202</w:t>
      </w:r>
      <w:r>
        <w:rPr>
          <w:rFonts w:hint="eastAsia" w:ascii="方正小标宋简体" w:hAnsi="方正小标宋简体" w:eastAsia="方正小标宋简体" w:cs="方正小标宋简体"/>
          <w:bCs/>
          <w:color w:val="auto"/>
          <w:spacing w:val="6"/>
          <w:sz w:val="44"/>
          <w:szCs w:val="44"/>
          <w:lang w:val="en-US" w:eastAsia="zh-CN"/>
        </w:rPr>
        <w:t>2</w:t>
      </w:r>
      <w:r>
        <w:rPr>
          <w:rFonts w:hint="eastAsia" w:ascii="方正小标宋简体" w:hAnsi="方正小标宋简体" w:eastAsia="方正小标宋简体" w:cs="方正小标宋简体"/>
          <w:bCs/>
          <w:color w:val="auto"/>
          <w:spacing w:val="6"/>
          <w:sz w:val="44"/>
          <w:szCs w:val="44"/>
        </w:rPr>
        <w:t>年课题招标办法</w:t>
      </w:r>
    </w:p>
    <w:p>
      <w:pPr>
        <w:keepNext w:val="0"/>
        <w:keepLines w:val="0"/>
        <w:pageBreakBefore w:val="0"/>
        <w:widowControl w:val="0"/>
        <w:kinsoku/>
        <w:wordWrap/>
        <w:overflowPunct w:val="0"/>
        <w:topLinePunct w:val="0"/>
        <w:autoSpaceDE/>
        <w:autoSpaceDN/>
        <w:bidi w:val="0"/>
        <w:adjustRightInd w:val="0"/>
        <w:snapToGrid w:val="0"/>
        <w:spacing w:line="500" w:lineRule="exact"/>
        <w:ind w:left="0" w:leftChars="0" w:right="0" w:rightChars="0" w:firstLine="0" w:firstLineChars="0"/>
        <w:jc w:val="center"/>
        <w:textAlignment w:val="auto"/>
        <w:outlineLvl w:val="9"/>
        <w:rPr>
          <w:rFonts w:ascii="仿宋_GB2312" w:hAnsi="仿宋_GB2312" w:eastAsia="仿宋_GB2312" w:cs="仿宋_GB2312"/>
          <w:color w:val="auto"/>
          <w:sz w:val="32"/>
          <w:szCs w:val="32"/>
        </w:rPr>
      </w:pPr>
    </w:p>
    <w:p>
      <w:pPr>
        <w:keepNext w:val="0"/>
        <w:keepLines w:val="0"/>
        <w:pageBreakBefore w:val="0"/>
        <w:widowControl w:val="0"/>
        <w:kinsoku/>
        <w:wordWrap/>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一、招标单位</w:t>
      </w:r>
    </w:p>
    <w:p>
      <w:pPr>
        <w:keepNext w:val="0"/>
        <w:keepLines w:val="0"/>
        <w:pageBreakBefore w:val="0"/>
        <w:widowControl w:val="0"/>
        <w:kinsoku/>
        <w:wordWrap/>
        <w:topLinePunct w:val="0"/>
        <w:autoSpaceDE/>
        <w:autoSpaceDN/>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民进中央参政党理论研究会</w:t>
      </w:r>
    </w:p>
    <w:p>
      <w:pPr>
        <w:keepNext w:val="0"/>
        <w:keepLines w:val="0"/>
        <w:pageBreakBefore w:val="0"/>
        <w:widowControl w:val="0"/>
        <w:kinsoku/>
        <w:wordWrap/>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二、招标对象</w:t>
      </w:r>
    </w:p>
    <w:p>
      <w:pPr>
        <w:keepNext w:val="0"/>
        <w:keepLines w:val="0"/>
        <w:pageBreakBefore w:val="0"/>
        <w:widowControl w:val="0"/>
        <w:kinsoku/>
        <w:wordWrap/>
        <w:topLinePunct w:val="0"/>
        <w:autoSpaceDE/>
        <w:autoSpaceDN/>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民进省、市级组织及参政党理论研究会。</w:t>
      </w:r>
      <w:r>
        <w:rPr>
          <w:rFonts w:hint="eastAsia" w:ascii="仿宋_GB2312" w:hAnsi="仿宋_GB2312" w:eastAsia="仿宋_GB2312" w:cs="仿宋_GB2312"/>
          <w:bCs/>
          <w:color w:val="auto"/>
          <w:kern w:val="0"/>
          <w:sz w:val="32"/>
          <w:szCs w:val="32"/>
        </w:rPr>
        <w:t>以课题组方式进行申报，每个课题组成员不少于3人。</w:t>
      </w:r>
      <w:r>
        <w:rPr>
          <w:rFonts w:hint="eastAsia" w:ascii="仿宋_GB2312" w:hAnsi="仿宋_GB2312" w:eastAsia="仿宋_GB2312" w:cs="仿宋_GB2312"/>
          <w:bCs/>
          <w:color w:val="auto"/>
          <w:kern w:val="0"/>
          <w:sz w:val="32"/>
          <w:szCs w:val="32"/>
          <w:lang w:eastAsia="zh-CN"/>
        </w:rPr>
        <w:t>课题组应具备完成课题研究任务的研究基础和研究力量，能够提供接收课题经费的对公账户，并且能够开具财政厅监制的资金往来结算票据或符合财务规定的科研课题经费相关发票。</w:t>
      </w:r>
    </w:p>
    <w:p>
      <w:pPr>
        <w:keepNext w:val="0"/>
        <w:keepLines w:val="0"/>
        <w:pageBreakBefore w:val="0"/>
        <w:widowControl w:val="0"/>
        <w:kinsoku/>
        <w:wordWrap/>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三、招标课题</w:t>
      </w:r>
    </w:p>
    <w:p>
      <w:pPr>
        <w:keepNext w:val="0"/>
        <w:keepLines w:val="0"/>
        <w:pageBreakBefore w:val="0"/>
        <w:widowControl w:val="0"/>
        <w:kinsoku/>
        <w:wordWrap/>
        <w:overflowPunct w:val="0"/>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1.参政党在全过程人民民主中的地位和作用研究</w:t>
      </w:r>
    </w:p>
    <w:p>
      <w:pPr>
        <w:keepNext w:val="0"/>
        <w:keepLines w:val="0"/>
        <w:pageBreakBefore w:val="0"/>
        <w:widowControl w:val="0"/>
        <w:kinsoku/>
        <w:wordWrap/>
        <w:overflowPunct w:val="0"/>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2.信息技术发展与民主党派活动方式变革研究</w:t>
      </w:r>
    </w:p>
    <w:p>
      <w:pPr>
        <w:keepNext w:val="0"/>
        <w:keepLines w:val="0"/>
        <w:pageBreakBefore w:val="0"/>
        <w:widowControl w:val="0"/>
        <w:kinsoku/>
        <w:wordWrap/>
        <w:overflowPunct w:val="0"/>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3.民主党派纪律监督工作在国家监督体系和干部管理中的地位与作用研究</w:t>
      </w:r>
    </w:p>
    <w:p>
      <w:pPr>
        <w:keepNext w:val="0"/>
        <w:keepLines w:val="0"/>
        <w:pageBreakBefore w:val="0"/>
        <w:widowControl w:val="0"/>
        <w:kinsoku/>
        <w:wordWrap/>
        <w:overflowPunct w:val="0"/>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4.新时代民进会员年龄结构特点研究</w:t>
      </w:r>
    </w:p>
    <w:p>
      <w:pPr>
        <w:keepNext w:val="0"/>
        <w:keepLines w:val="0"/>
        <w:pageBreakBefore w:val="0"/>
        <w:widowControl w:val="0"/>
        <w:kinsoku/>
        <w:wordWrap/>
        <w:overflowPunct w:val="0"/>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5.民主党派职能发展历史研究</w:t>
      </w:r>
    </w:p>
    <w:p>
      <w:pPr>
        <w:keepNext w:val="0"/>
        <w:keepLines w:val="0"/>
        <w:pageBreakBefore w:val="0"/>
        <w:widowControl w:val="0"/>
        <w:kinsoku/>
        <w:wordWrap/>
        <w:overflowPunct w:val="0"/>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6.民进履行民主监督职能工作历史和启示研究</w:t>
      </w:r>
    </w:p>
    <w:p>
      <w:pPr>
        <w:keepNext w:val="0"/>
        <w:keepLines w:val="0"/>
        <w:pageBreakBefore w:val="0"/>
        <w:widowControl w:val="0"/>
        <w:kinsoku/>
        <w:wordWrap/>
        <w:overflowPunct w:val="0"/>
        <w:topLinePunct w:val="0"/>
        <w:autoSpaceDE/>
        <w:autoSpaceDN/>
        <w:bidi w:val="0"/>
        <w:adjustRightInd w:val="0"/>
        <w:snapToGrid w:val="0"/>
        <w:spacing w:line="620" w:lineRule="exact"/>
        <w:ind w:left="0" w:leftChars="0" w:right="0" w:rightChars="0" w:firstLine="640" w:firstLineChars="200"/>
        <w:jc w:val="both"/>
        <w:textAlignment w:val="auto"/>
        <w:outlineLvl w:val="9"/>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7.民进社会服务工作在凝心聚力中的作用研究</w:t>
      </w:r>
    </w:p>
    <w:p>
      <w:pPr>
        <w:keepNext w:val="0"/>
        <w:keepLines w:val="0"/>
        <w:pageBreakBefore w:val="0"/>
        <w:widowControl w:val="0"/>
        <w:kinsoku/>
        <w:wordWrap/>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四、招标流程</w:t>
      </w:r>
    </w:p>
    <w:p>
      <w:pPr>
        <w:keepNext w:val="0"/>
        <w:keepLines w:val="0"/>
        <w:pageBreakBefore w:val="0"/>
        <w:widowControl w:val="0"/>
        <w:kinsoku/>
        <w:wordWrap/>
        <w:topLinePunct w:val="0"/>
        <w:autoSpaceDE/>
        <w:autoSpaceDN/>
        <w:bidi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1.投标课题组可登录民进中央网站，在“公告栏”下载并填写《民进中央参政党理论研究会招标课题申报书》（以下简称《申报书》），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申报题目+</w:t>
      </w:r>
      <w:r>
        <w:rPr>
          <w:rFonts w:hint="eastAsia" w:ascii="仿宋_GB2312" w:hAnsi="仿宋_GB2312" w:eastAsia="仿宋_GB2312" w:cs="仿宋_GB2312"/>
          <w:color w:val="auto"/>
          <w:sz w:val="32"/>
          <w:szCs w:val="32"/>
          <w:lang w:eastAsia="zh-CN"/>
        </w:rPr>
        <w:t>民进</w:t>
      </w:r>
      <w:r>
        <w:rPr>
          <w:rFonts w:hint="eastAsia" w:ascii="仿宋_GB2312" w:hAnsi="仿宋_GB2312" w:eastAsia="仿宋_GB2312" w:cs="仿宋_GB2312"/>
          <w:color w:val="auto"/>
          <w:sz w:val="32"/>
          <w:szCs w:val="32"/>
          <w:lang w:val="en-US" w:eastAsia="zh-CN"/>
        </w:rPr>
        <w:t>XX</w:t>
      </w:r>
      <w:r>
        <w:rPr>
          <w:rFonts w:hint="eastAsia" w:ascii="仿宋_GB2312" w:hAnsi="仿宋_GB2312" w:eastAsia="仿宋_GB2312" w:cs="仿宋_GB2312"/>
          <w:color w:val="auto"/>
          <w:sz w:val="32"/>
          <w:szCs w:val="32"/>
        </w:rPr>
        <w:t>省（市）</w:t>
      </w:r>
      <w:r>
        <w:rPr>
          <w:rFonts w:hint="eastAsia" w:ascii="仿宋_GB2312" w:hAnsi="仿宋_GB2312" w:eastAsia="仿宋_GB2312" w:cs="仿宋_GB2312"/>
          <w:color w:val="auto"/>
          <w:sz w:val="32"/>
          <w:szCs w:val="32"/>
          <w:lang w:eastAsia="zh-CN"/>
        </w:rPr>
        <w:t>委会</w:t>
      </w:r>
      <w:r>
        <w:rPr>
          <w:rFonts w:hint="eastAsia" w:ascii="仿宋_GB2312" w:hAnsi="仿宋_GB2312" w:eastAsia="仿宋_GB2312" w:cs="仿宋_GB2312"/>
          <w:color w:val="auto"/>
          <w:sz w:val="32"/>
          <w:szCs w:val="32"/>
        </w:rPr>
        <w:t>+组长</w:t>
      </w:r>
      <w:r>
        <w:rPr>
          <w:rFonts w:hint="eastAsia" w:ascii="仿宋_GB2312" w:hAnsi="仿宋_GB2312" w:eastAsia="仿宋_GB2312" w:cs="仿宋_GB2312"/>
          <w:color w:val="auto"/>
          <w:sz w:val="32"/>
          <w:szCs w:val="32"/>
          <w:lang w:eastAsia="zh-CN"/>
        </w:rPr>
        <w:t>”命名</w:t>
      </w:r>
      <w:r>
        <w:rPr>
          <w:rFonts w:hint="eastAsia" w:ascii="仿宋_GB2312" w:hAnsi="仿宋_GB2312" w:eastAsia="仿宋_GB2312" w:cs="仿宋_GB2312"/>
          <w:color w:val="auto"/>
          <w:sz w:val="32"/>
          <w:szCs w:val="32"/>
        </w:rPr>
        <w:t>，由课题组所在民进组织，报送至所在民进省级组织。</w:t>
      </w:r>
    </w:p>
    <w:p>
      <w:pPr>
        <w:keepNext w:val="0"/>
        <w:keepLines w:val="0"/>
        <w:pageBreakBefore w:val="0"/>
        <w:widowControl w:val="0"/>
        <w:kinsoku/>
        <w:wordWrap/>
        <w:topLinePunct w:val="0"/>
        <w:autoSpaceDE/>
        <w:autoSpaceDN/>
        <w:bidi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2.省级组织对本省投标课题进行筛选后，</w:t>
      </w:r>
      <w:r>
        <w:rPr>
          <w:rFonts w:hint="eastAsia" w:ascii="仿宋_GB2312" w:hAnsi="仿宋_GB2312" w:eastAsia="仿宋_GB2312" w:cs="仿宋_GB2312"/>
          <w:bCs/>
          <w:color w:val="auto"/>
          <w:kern w:val="0"/>
          <w:sz w:val="32"/>
          <w:szCs w:val="32"/>
        </w:rPr>
        <w:t>统一将电子版《申报书》于</w:t>
      </w:r>
      <w:r>
        <w:rPr>
          <w:rFonts w:hint="eastAsia" w:ascii="仿宋_GB2312" w:hAnsi="仿宋_GB2312" w:eastAsia="仿宋_GB2312" w:cs="仿宋_GB2312"/>
          <w:b w:val="0"/>
          <w:bCs/>
          <w:color w:val="auto"/>
          <w:kern w:val="0"/>
          <w:sz w:val="32"/>
          <w:szCs w:val="32"/>
          <w:lang w:val="en-US" w:eastAsia="zh-CN"/>
        </w:rPr>
        <w:t>3</w:t>
      </w:r>
      <w:r>
        <w:rPr>
          <w:rFonts w:hint="eastAsia" w:ascii="仿宋_GB2312" w:hAnsi="仿宋_GB2312" w:eastAsia="仿宋_GB2312" w:cs="仿宋_GB2312"/>
          <w:b w:val="0"/>
          <w:bCs/>
          <w:color w:val="auto"/>
          <w:kern w:val="0"/>
          <w:sz w:val="32"/>
          <w:szCs w:val="32"/>
        </w:rPr>
        <w:t>月2</w:t>
      </w:r>
      <w:r>
        <w:rPr>
          <w:rFonts w:hint="eastAsia" w:ascii="仿宋_GB2312" w:hAnsi="仿宋_GB2312" w:eastAsia="仿宋_GB2312" w:cs="仿宋_GB2312"/>
          <w:b w:val="0"/>
          <w:bCs/>
          <w:color w:val="auto"/>
          <w:kern w:val="0"/>
          <w:sz w:val="32"/>
          <w:szCs w:val="32"/>
          <w:lang w:val="en-US" w:eastAsia="zh-CN"/>
        </w:rPr>
        <w:t>1</w:t>
      </w:r>
      <w:r>
        <w:rPr>
          <w:rFonts w:hint="eastAsia" w:ascii="仿宋_GB2312" w:hAnsi="仿宋_GB2312" w:eastAsia="仿宋_GB2312" w:cs="仿宋_GB2312"/>
          <w:b w:val="0"/>
          <w:bCs/>
          <w:color w:val="auto"/>
          <w:kern w:val="0"/>
          <w:sz w:val="32"/>
          <w:szCs w:val="32"/>
        </w:rPr>
        <w:t>日前</w:t>
      </w:r>
      <w:r>
        <w:rPr>
          <w:rFonts w:hint="eastAsia" w:ascii="仿宋_GB2312" w:hAnsi="仿宋_GB2312" w:eastAsia="仿宋_GB2312" w:cs="仿宋_GB2312"/>
          <w:color w:val="auto"/>
          <w:sz w:val="32"/>
          <w:szCs w:val="32"/>
        </w:rPr>
        <w:t>发至联系方式所留电子邮箱。</w:t>
      </w:r>
      <w:r>
        <w:rPr>
          <w:rFonts w:hint="eastAsia" w:ascii="仿宋_GB2312" w:hAnsi="仿宋_GB2312" w:eastAsia="仿宋_GB2312" w:cs="仿宋_GB2312"/>
          <w:bCs/>
          <w:color w:val="auto"/>
          <w:kern w:val="0"/>
          <w:sz w:val="32"/>
          <w:szCs w:val="32"/>
        </w:rPr>
        <w:t>每个省级组织每个课题限报1个。</w:t>
      </w:r>
    </w:p>
    <w:p>
      <w:pPr>
        <w:keepNext w:val="0"/>
        <w:keepLines w:val="0"/>
        <w:pageBreakBefore w:val="0"/>
        <w:widowControl w:val="0"/>
        <w:kinsoku/>
        <w:wordWrap/>
        <w:topLinePunct w:val="0"/>
        <w:autoSpaceDE/>
        <w:autoSpaceDN/>
        <w:bidi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3.自截止日期起，招标课题论证及评审委员会对《申报书》进行论证评审，择优确定中标课题组。</w:t>
      </w:r>
    </w:p>
    <w:p>
      <w:pPr>
        <w:keepNext w:val="0"/>
        <w:keepLines w:val="0"/>
        <w:pageBreakBefore w:val="0"/>
        <w:widowControl w:val="0"/>
        <w:kinsoku/>
        <w:wordWrap/>
        <w:topLinePunct w:val="0"/>
        <w:autoSpaceDE/>
        <w:autoSpaceDN/>
        <w:bidi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月，民进中央向各省级组织</w:t>
      </w:r>
      <w:r>
        <w:rPr>
          <w:rFonts w:hint="eastAsia" w:ascii="仿宋_GB2312" w:hAnsi="仿宋_GB2312" w:eastAsia="仿宋_GB2312" w:cs="仿宋_GB2312"/>
          <w:bCs/>
          <w:color w:val="auto"/>
          <w:kern w:val="0"/>
          <w:sz w:val="32"/>
          <w:szCs w:val="32"/>
        </w:rPr>
        <w:t>印发中标情况通告</w:t>
      </w:r>
      <w:r>
        <w:rPr>
          <w:rFonts w:hint="eastAsia" w:ascii="仿宋_GB2312" w:hAnsi="仿宋_GB2312" w:eastAsia="仿宋_GB2312" w:cs="仿宋_GB2312"/>
          <w:bCs/>
          <w:color w:val="auto"/>
          <w:kern w:val="0"/>
          <w:sz w:val="32"/>
          <w:szCs w:val="32"/>
          <w:lang w:eastAsia="zh-CN"/>
        </w:rPr>
        <w:t>，与</w:t>
      </w:r>
      <w:r>
        <w:rPr>
          <w:rFonts w:hint="eastAsia" w:ascii="仿宋_GB2312" w:hAnsi="仿宋_GB2312" w:eastAsia="仿宋_GB2312" w:cs="仿宋_GB2312"/>
          <w:bCs/>
          <w:color w:val="auto"/>
          <w:kern w:val="0"/>
          <w:sz w:val="32"/>
          <w:szCs w:val="32"/>
        </w:rPr>
        <w:t>中标课题组签订《民进中央参政党理论研究会招标课题委托研究协议书》</w:t>
      </w:r>
      <w:r>
        <w:rPr>
          <w:rFonts w:hint="eastAsia" w:ascii="仿宋_GB2312" w:hAnsi="仿宋_GB2312" w:eastAsia="仿宋_GB2312" w:cs="仿宋_GB2312"/>
          <w:color w:val="auto"/>
          <w:sz w:val="32"/>
          <w:szCs w:val="32"/>
        </w:rPr>
        <w:t>。</w:t>
      </w:r>
    </w:p>
    <w:p>
      <w:pPr>
        <w:overflowPunct w:val="0"/>
        <w:adjustRightInd w:val="0"/>
        <w:snapToGrid w:val="0"/>
        <w:spacing w:line="600" w:lineRule="exact"/>
        <w:ind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Cs/>
          <w:color w:val="auto"/>
          <w:kern w:val="0"/>
          <w:sz w:val="32"/>
          <w:szCs w:val="32"/>
          <w:lang w:val="en-US" w:eastAsia="zh-CN"/>
        </w:rPr>
        <w:t>6月底，各课题组提交中期研究报告。</w:t>
      </w:r>
    </w:p>
    <w:p>
      <w:pPr>
        <w:keepNext w:val="0"/>
        <w:keepLines w:val="0"/>
        <w:pageBreakBefore w:val="0"/>
        <w:widowControl w:val="0"/>
        <w:kinsoku/>
        <w:wordWrap/>
        <w:topLinePunct w:val="0"/>
        <w:autoSpaceDE/>
        <w:autoSpaceDN/>
        <w:bidi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.8月底，各课题组完成研究任务，提交课题研究成果。</w:t>
      </w:r>
    </w:p>
    <w:p>
      <w:pPr>
        <w:keepNext w:val="0"/>
        <w:keepLines w:val="0"/>
        <w:pageBreakBefore w:val="0"/>
        <w:widowControl w:val="0"/>
        <w:kinsoku/>
        <w:wordWrap/>
        <w:topLinePunct w:val="0"/>
        <w:autoSpaceDE/>
        <w:autoSpaceDN/>
        <w:bidi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.9月，</w:t>
      </w:r>
      <w:r>
        <w:rPr>
          <w:rFonts w:hint="eastAsia" w:ascii="仿宋_GB2312" w:hAnsi="仿宋_GB2312" w:eastAsia="仿宋_GB2312" w:cs="仿宋_GB2312"/>
          <w:bCs/>
          <w:color w:val="auto"/>
          <w:kern w:val="0"/>
          <w:sz w:val="32"/>
          <w:szCs w:val="32"/>
        </w:rPr>
        <w:t>招标课题论证及评审委员会对各课题组的研究成果进行验收评审。对于评审合格的研究成果，准予结题，颁发结题证书，</w:t>
      </w:r>
      <w:r>
        <w:rPr>
          <w:rFonts w:hint="eastAsia" w:ascii="仿宋_GB2312" w:hAnsi="仿宋_GB2312" w:eastAsia="仿宋_GB2312" w:cs="仿宋_GB2312"/>
          <w:color w:val="auto"/>
          <w:sz w:val="32"/>
          <w:szCs w:val="32"/>
        </w:rPr>
        <w:t>资助研究经费10000元（由课题组提交财务凭证后进行拨付）</w:t>
      </w:r>
      <w:r>
        <w:rPr>
          <w:rFonts w:hint="eastAsia" w:ascii="仿宋_GB2312" w:hAnsi="仿宋_GB2312" w:eastAsia="仿宋_GB2312" w:cs="仿宋_GB2312"/>
          <w:bCs/>
          <w:color w:val="auto"/>
          <w:kern w:val="0"/>
          <w:sz w:val="32"/>
          <w:szCs w:val="32"/>
        </w:rPr>
        <w:t>；对于评审不合格或未在约定时间内提交的研究成果，不予结题。</w:t>
      </w:r>
    </w:p>
    <w:p>
      <w:pPr>
        <w:keepNext w:val="0"/>
        <w:keepLines w:val="0"/>
        <w:pageBreakBefore w:val="0"/>
        <w:widowControl w:val="0"/>
        <w:kinsoku/>
        <w:wordWrap/>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五、课题要求</w:t>
      </w:r>
    </w:p>
    <w:p>
      <w:pPr>
        <w:keepNext w:val="0"/>
        <w:keepLines w:val="0"/>
        <w:pageBreakBefore w:val="0"/>
        <w:widowControl w:val="0"/>
        <w:kinsoku/>
        <w:wordWrap/>
        <w:topLinePunct w:val="0"/>
        <w:autoSpaceDE/>
        <w:autoSpaceDN/>
        <w:bidi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观点明确、内容翔实、文风简洁、行文规范。力求原创性、开拓性、实用性，有较为深刻的思考、独到的见解和较高的学术水平，对新时代中国特色社会主义参政党建设具有一定的参考意义。</w:t>
      </w:r>
    </w:p>
    <w:p>
      <w:pPr>
        <w:keepNext w:val="0"/>
        <w:keepLines w:val="0"/>
        <w:pageBreakBefore w:val="0"/>
        <w:widowControl w:val="0"/>
        <w:kinsoku/>
        <w:wordWrap/>
        <w:topLinePunct w:val="0"/>
        <w:autoSpaceDE/>
        <w:autoSpaceDN/>
        <w:bidi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研究成果的形式为论文，摘要、关键词、注释和引文须符合学术规范，字数控制在5000-6000字。</w:t>
      </w:r>
    </w:p>
    <w:p>
      <w:pPr>
        <w:keepNext w:val="0"/>
        <w:keepLines w:val="0"/>
        <w:pageBreakBefore w:val="0"/>
        <w:widowControl w:val="0"/>
        <w:kinsoku/>
        <w:wordWrap/>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六、成果运用</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right="0" w:rightChars="0"/>
        <w:jc w:val="left"/>
        <w:textAlignment w:val="auto"/>
        <w:outlineLvl w:val="9"/>
        <w:rPr>
          <w:rFonts w:hint="eastAsia" w:ascii="仿宋_GB2312" w:hAnsi="仿宋_GB2312" w:eastAsia="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Cs/>
          <w:color w:val="auto"/>
          <w:kern w:val="0"/>
          <w:sz w:val="32"/>
          <w:szCs w:val="32"/>
        </w:rPr>
        <w:t>邀请各中标课题组代表参加民进中央参政党理论研究会年会，交流研究成果。编印结题课题论文，</w:t>
      </w:r>
      <w:r>
        <w:rPr>
          <w:rFonts w:hint="eastAsia" w:ascii="仿宋_GB2312" w:hAnsi="仿宋_GB2312" w:eastAsia="仿宋_GB2312" w:cs="仿宋_GB2312"/>
          <w:color w:val="auto"/>
          <w:sz w:val="32"/>
          <w:szCs w:val="32"/>
        </w:rPr>
        <w:t>报送民进中央有关领导和部门，</w:t>
      </w:r>
      <w:r>
        <w:rPr>
          <w:rFonts w:hint="eastAsia" w:ascii="仿宋_GB2312" w:hAnsi="仿宋_GB2312" w:eastAsia="仿宋_GB2312" w:cs="仿宋_GB2312"/>
          <w:bCs/>
          <w:color w:val="auto"/>
          <w:kern w:val="0"/>
          <w:sz w:val="32"/>
          <w:szCs w:val="32"/>
        </w:rPr>
        <w:t>印发各省级组织</w:t>
      </w:r>
      <w:r>
        <w:rPr>
          <w:rFonts w:hint="eastAsia" w:ascii="仿宋_GB2312" w:hAnsi="仿宋_GB2312" w:eastAsia="仿宋_GB2312" w:cs="仿宋_GB2312"/>
          <w:color w:val="auto"/>
          <w:sz w:val="32"/>
          <w:szCs w:val="32"/>
        </w:rPr>
        <w:t>。优秀成果酌情推荐给网站、报刊。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9794B"/>
    <w:rsid w:val="7E09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2022-02-25T07:36:00Z</dcterms:created>
  <dc:creator>zhangyu</dc:creator>
  <cp:lastModifiedBy>zhangyu</cp:lastModifiedBy>
  <dcterms:modified xsi:type="dcterms:W3CDTF">2022-02-25T07:37:05Z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